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8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关于举办第十届湖南省大学生</w:t>
      </w:r>
    </w:p>
    <w:p>
      <w:pPr>
        <w:widowControl/>
        <w:snapToGrid w:val="0"/>
        <w:spacing w:before="100" w:beforeAutospacing="1" w:after="100" w:afterAutospacing="1" w:line="480" w:lineRule="exact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旅游专业综合技能大赛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暨邵阳学院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选拔赛的通知</w:t>
      </w:r>
    </w:p>
    <w:p>
      <w:pPr>
        <w:widowControl/>
        <w:snapToGrid w:val="0"/>
        <w:spacing w:before="100" w:beforeAutospacing="1" w:after="100" w:afterAutospacing="1" w:line="480" w:lineRule="exact"/>
        <w:jc w:val="left"/>
        <w:rPr>
          <w:rFonts w:hint="eastAsia" w:ascii="仿宋" w:hAnsi="仿宋" w:eastAsia="仿宋" w:cs="仿宋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二级学院：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0"/>
        <w:jc w:val="left"/>
        <w:textAlignment w:val="baseline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为认真实践习近平生态文明思想，深入学习贯彻习近平关于国家公园建设的重要讲话和重要批示精神，助推我省后疫情时代的旅游业复苏，湖南省教育厅决定举办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年湖南省大学生旅游专业综合技能大赛，主题为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“走进国家公园，感受国之大者：南山国家公园生态旅游创意策划”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，以充分发挥旅游类专业学科竞赛在创新型、复合型、应用型人才培养中的引导示范作用，培养大学生创新思维、创业能力、团队精神和家国情怀，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提升大学生自然科学素养和生态文明意识，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输送适应国家建设需要的高质量、高水平专业人才。根据湖南省教育厅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和湖南省旅游学会旅游教育专业委员会工作安排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第十届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湖南省大学生旅游专业综合技能大赛由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中南林业科技大学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承办，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湖南南山国家公园管理局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协办。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现邵阳学院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选拔赛已正式启动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一、校赛组织机构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主办单位：邵阳学院教务处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承办单位：经济与管理学院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组 长：唐杰、肖功为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副组长：肖才远、杨琴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竞赛组委会下设办公室，负责竞赛具体事宜。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1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主  任：杨琴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64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成  员：邓星炬、谢江红、钱学礼、冯灿飞、向莉萍、邱艳萍、肖湘君、向萍、周美芳、岳抑波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40" w:lineRule="exact"/>
        <w:ind w:right="-712" w:rightChars="-339" w:firstLine="640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二、赛道设置与团队要求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竞赛包括自然教育课程设计、自然教育解说词创作、自然科普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创作、生态旅游线路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四个赛道。每个赛道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最终有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5个复赛参赛团队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进入省级复赛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（即以上四个赛道我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支队伍进入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自然教育课程设计、自然教育解说词创作、生态旅游线路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每支参赛团队成员3人，其中至少有2人为旅游管理类本科专业学生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自然科普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创作赛道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每支参赛团队成员4人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其中至少有2人为旅游管理类本科专业学生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2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0"/>
          <w:sz w:val="28"/>
          <w:lang w:eastAsia="zh-CN"/>
        </w:rPr>
        <w:t>允许学生跨专业、</w:t>
      </w:r>
      <w:r>
        <w:rPr>
          <w:rFonts w:hint="eastAsia" w:ascii="仿宋" w:hAnsi="仿宋" w:eastAsia="仿宋" w:cs="仿宋"/>
          <w:spacing w:val="-16"/>
          <w:sz w:val="28"/>
          <w:lang w:eastAsia="zh-CN"/>
        </w:rPr>
        <w:t>跨年级组建参赛团队，但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每名学生限选1项参赛。每支参赛团队指导老师限1人。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40" w:lineRule="exact"/>
        <w:ind w:right="-712" w:rightChars="-339" w:firstLine="720" w:firstLineChars="225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三、竞赛内容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（一）竞赛主题：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走进国家公园，感受国之大者：南山国家公园生态旅游创意策划。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（二）竞赛项目与要求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、自然教育课程设计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自行选取南山国家公园内某一处景区（原南山国家公园体制试点区、绥宁黄桑国家级自然保护区、新宁舜皇山国家级自然保护区、东安舜皇山国家级自然保护区、崀山世界自然遗产地）为活动开展地，主题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需围绕南山国家公园四大核心价值：“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中亚热带森林草地湿地复合生态系统的典型代表；中国丹霞壮年期的模式地；南方丘陵山地带生态屏障的中心区域；长征红色文化和苗族等少数民族文化的传承地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包括但不限于南山国家公园生态系统、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动植物保护、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自然资源、自然遗产、自然景观、文化历史要素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，突出生态保护理念。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时长为一天室内外自然体验活动，至少包括3个课时，总时长不低于180分钟，服务规模50人/天。课程设计内容包括但不限于课程名称、主题、授课对象、授课地点、适宜季节、设计理念和思路、课程目标、活动安排、实施、安全保障、评估等。文本字数不超过12000字，PDF文件不超过80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、自然教育解说词创作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自然教育解说词既可以为南山国家公园的整体介绍，也可以为南山国家公园内某一处景区或景点的解说词，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参赛团队可自行选择参赛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。解说词应重点体现南山国家公园森林、草地、湿地生态系统保护价值，围绕国家公园内资源冷杉、灵麝、白鹇、黄腹角稚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、黑熊等旗舰物种保护以及地质遗迹、地质地貌等资源特色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进行创作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，突出知识性和科学性。解说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有明确的解说对象，内容科学准确，语言优美精炼、结构完整、逻辑性强，符合口语表达规律，通俗易懂，并能体现南山国家公园的生态价值、游憩价值、文化内涵等。解说词语言为汉语或英语，英语解说词需附汉语翻译。解说词需有配图和解说音频。解说词文本字数控制在2000-5000字，解说音频时长不超过15分钟，格式为MP3或WM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、自然科普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微视频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创作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山国家公园内某一处自然资源、自然遗迹、自然景观或自然文化景观（包括但不限于地文景观、水域景观、生物景观、天象与气候景观等），用镜头语言介绍自然资源科普知识，内容优选小题目、不作大概念，并兼具科学性、知识性、通俗性和艺术性。参赛团队可自行确定微视频的主题、内容与形式，在选用非原创素材时应尊重他人著作权，引用他人成果需标明出处。微视频时长3-5分钟，分辨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1080p，视频格式为mp4、MOV或AVI，文件大小不超过1000MB。要求视频画面干净，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配有中文字幕，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带角标、台标、水印或logo，并提交500字以内的视频拍摄说明。微视频需通过团队成员自行注册的个人账号（只统计1个账号）上传至抖音平台，视频上传时间不得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于2023年9月1日0:00，视频的点赞、转发和评论数据统计时间截至2023年9月10日24:00。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、生态旅游线路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依托南山国家公园丰富的自然资源和文化基底，针对不同的目标客户群体，设计串联南山国家公园内景区景点的多日游旅游线路，需主题鲜明、特色突出、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内容丰富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，详细考虑时间的利用率、路线的科学性、交通的便捷性、景点内容的丰富性和价格的合理性，最大限度满足游客生态旅游需求。线路设计内容包括但不限于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线路名称、主题、适用人群、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适宜季节、设计理念和思路、线路详细内容（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组成元素、游玩方式、交通接驳、体验项目等）、参考价格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、安全保障等。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文本字数不超过12000字，PDF文件不超过80页。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68" w:firstLineChars="225"/>
        <w:jc w:val="both"/>
        <w:textAlignment w:val="baseline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sz w:val="28"/>
          <w:szCs w:val="28"/>
          <w:shd w:val="clear" w:color="auto" w:fill="FFFFFF"/>
          <w:lang w:eastAsia="zh-CN"/>
        </w:rPr>
        <w:t>（三）作品版权及归属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本次大赛鼓励原创，严禁抄袭、复制、篡改等侵权行为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参赛作品违反著作权、商标权、肖像权、名誉权、隐私权等产生的相关法律责任均由参赛者本人承担。如有以上违法行为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主办方有权取消参赛团队的参赛、获奖等资格。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参赛作品的版权归参赛团队所有，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组委会和湖南南山国家公园管理局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拥有参赛作品的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传播使用权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有权对作品进行任何形式的对外推广、展播与宣传。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优秀作品若被湖南南山国家公园管理局所采纳，由湖南南山国家公园管理局出具作品采纳证明。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40" w:lineRule="exact"/>
        <w:ind w:right="-712" w:rightChars="-339" w:firstLine="632" w:firstLineChars="225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四、竞赛时间与要求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初赛（邵阳学院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预选赛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邵阳学院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预选赛时间为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学校初赛时间暂定6月10日（至少提交创作思路电子文档），学校现场决赛时间暂定6月18日（至少通过PPT展示创作思路和创新点等），如有变化另行通知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成绩，每个赛道评选校级一等奖1个，二等奖2个，三等级3个。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每个赛道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选出的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5个团队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均可获得参加省复赛资格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（即最多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支队伍进入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复赛）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2、校赛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咨询、通知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QQ群号为：815085341。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（二）实地考察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预计6月下旬或7月上旬组织参加省复赛的同学前往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南山国家公园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等景区实地考察。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实地考察的具体安排将在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QQ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815085341）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中通知。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考察团队的每位成员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需提前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购买旅游意外险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将安全工作放在第一位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（三）全省复赛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定于202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年9月1日前各高校组织参赛队伍提交复赛作品及报名表（附件2）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、报名汇总表（附件3）、学生证电子复印件等材料至赛事邮箱。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复赛采取作品函评方式进行，由组委会组织省内、外专家对各高校参赛队伍提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的作品进行双盲评审，选出排名前60%的队伍进入决赛评奖。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参加复赛的作品不允许出现学校、指导老师及学生个人等信息，一经发现，立即取消比赛资格。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各参赛队复赛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公布时间为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（四）全省决赛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1、初步定于2023年9月下旬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举行第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届湖南省大学生旅游专业综合技能大赛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课程设计与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生态旅游线路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设计的现场总决赛，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自然教育解说词创作和自然科普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微视频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不进行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现场总决赛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通过复赛作品直接评定奖项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依据全省复赛成绩，排名前35%的队伍进入总决赛，由承办单位组织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旅游管理、自然教育、生态旅游、科普解说等领域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专家对作品进行综合评分排出名次。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课程设计与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生态旅游线路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设计比赛的一、二等奖获奖选手到决赛现场领奖，其余队伍直接颁授三等奖，不参加现场总决赛；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自然教育解说词创作和自然科普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微视频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创作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以复赛成绩作为最后的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决赛总成绩。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现场总决赛采取抽签分组的方式进行，具体抽签方案由组委会在复赛后确定。现场总决赛分项目展示和现场答辩两个环节。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项目展示时间8分钟，答辩时间4分钟，共计12分钟。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根据复赛成绩占50%（文本及有关附件），决赛成绩占50%的规则计算参赛队伍最终成绩。各队参加总决赛的文本及陈述答辩环节不允许出现学校、指导老师及学生个人等信息，一经发现，直接取消比赛成绩。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入围决赛的队伍可对参赛文本、汇报PPT、有关附件进行修改完善，但不允许更换题目，决赛前一周提交所有参赛资料。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40" w:lineRule="exact"/>
        <w:ind w:right="-712" w:rightChars="-339" w:firstLine="632" w:firstLineChars="225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五、奖项设置与奖励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《湖南省大学生旅游专业综合技能大赛章程》规定，结合本次竞赛特点，设置团队奖、优秀组织奖。所有获奖证书明确标注参赛学生和指导老师姓名。所有获奖团队及个人由省教育厅颁发奖励证书，并发文通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（一）团队奖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本次大赛按照参赛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省复赛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队伍的15%、20%和25%比例分别设立一等奖、二等奖和三等奖。比赛名次并列时，按照并列数相应空出并列以后的名次。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（二）优秀组织奖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按照参赛高校的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30%设立优秀组织奖，由组委会根据参赛高校组织的校内预选赛和复赛、决赛的情况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给予综合评定。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2" w:firstLineChars="225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（三）优秀指导教师奖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授予获得一等奖团队的指导教师“优秀指导教师”荣誉称号，并颁发证书。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赛事邮箱：lyjnds2023@163.com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4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六、联系方式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赛事联系人：邓星炬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(13337397818)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30" w:firstLineChars="225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校赛咨询、通知QQ群（815085341）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240" w:firstLine="42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邵阳学院教务处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仿宋" w:hAnsi="仿宋" w:eastAsia="仿宋" w:cs="仿宋"/>
        </w:rPr>
      </w:pPr>
    </w:p>
    <w:sectPr>
      <w:pgSz w:w="11906" w:h="16838"/>
      <w:pgMar w:top="1191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MTRjMDRkMjhlYzMyNGYwNjg0OTJiMmJkMDFiNDUifQ=="/>
  </w:docVars>
  <w:rsids>
    <w:rsidRoot w:val="00465B15"/>
    <w:rsid w:val="000D11D1"/>
    <w:rsid w:val="000D1C8C"/>
    <w:rsid w:val="002D1C6F"/>
    <w:rsid w:val="00465B15"/>
    <w:rsid w:val="00527C42"/>
    <w:rsid w:val="00572FA6"/>
    <w:rsid w:val="00606244"/>
    <w:rsid w:val="00692638"/>
    <w:rsid w:val="007722E7"/>
    <w:rsid w:val="007F09E5"/>
    <w:rsid w:val="008D50AE"/>
    <w:rsid w:val="008E50BF"/>
    <w:rsid w:val="00931688"/>
    <w:rsid w:val="009B2F4B"/>
    <w:rsid w:val="009D3DC8"/>
    <w:rsid w:val="00AB5F84"/>
    <w:rsid w:val="00B51DC6"/>
    <w:rsid w:val="00B61F12"/>
    <w:rsid w:val="00B81F19"/>
    <w:rsid w:val="00C23F1B"/>
    <w:rsid w:val="00D2471D"/>
    <w:rsid w:val="00E23FF1"/>
    <w:rsid w:val="00F14ABD"/>
    <w:rsid w:val="1ADE2F9E"/>
    <w:rsid w:val="3E8F43AC"/>
    <w:rsid w:val="58020E8D"/>
    <w:rsid w:val="7BC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lang w:eastAsia="zh-CN" w:bidi="ar-SA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3603</Words>
  <Characters>3775</Characters>
  <Lines>21</Lines>
  <Paragraphs>5</Paragraphs>
  <TotalTime>5</TotalTime>
  <ScaleCrop>false</ScaleCrop>
  <LinksUpToDate>false</LinksUpToDate>
  <CharactersWithSpaces>3780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2023-05-16T07:17:00Z</dcterms:created>
  <dc:creator>lint</dc:creator>
  <cp:lastModifiedBy>WPS_1569973723</cp:lastModifiedBy>
  <cp:lastPrinted>2022-09-30T02:18:00Z</cp:lastPrinted>
  <dcterms:modified xsi:type="dcterms:W3CDTF">2023-05-20T07:22:41Z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F97D1EFDCB24418CB3BADF9F07B5DE84_13</vt:lpwstr>
  </property>
</Properties>
</file>